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7841E" w14:textId="3B4D56D0" w:rsidR="00CE2BCA" w:rsidRDefault="00CE2BCA" w:rsidP="009F56BC">
      <w:r>
        <w:t>4 February 2022</w:t>
      </w:r>
    </w:p>
    <w:p w14:paraId="313353CE" w14:textId="77777777" w:rsidR="00CE2BCA" w:rsidRDefault="00CE2BCA" w:rsidP="009F56BC"/>
    <w:p w14:paraId="6AD44218" w14:textId="5AA391EF" w:rsidR="00CE2BCA" w:rsidRDefault="00CE2BCA" w:rsidP="009F56BC">
      <w:r>
        <w:t xml:space="preserve">By email: </w:t>
      </w:r>
      <w:r w:rsidRPr="00CE2BCA">
        <w:t>AdviceReview@treasury.gov.au</w:t>
      </w:r>
    </w:p>
    <w:p w14:paraId="65F50F2B" w14:textId="77777777" w:rsidR="00CE2BCA" w:rsidRDefault="00CE2BCA" w:rsidP="009F56BC"/>
    <w:p w14:paraId="17451928" w14:textId="4DBAAAB3" w:rsidR="00CE2BCA" w:rsidRDefault="00CE2BCA" w:rsidP="009F56BC">
      <w:r>
        <w:t>Director</w:t>
      </w:r>
      <w:r w:rsidR="003A400C">
        <w:br/>
      </w:r>
      <w:r w:rsidRPr="00CE2BCA">
        <w:t>Advice and Investment Branch</w:t>
      </w:r>
      <w:r>
        <w:br/>
        <w:t xml:space="preserve">Retirement, </w:t>
      </w:r>
      <w:proofErr w:type="gramStart"/>
      <w:r>
        <w:t>Advice</w:t>
      </w:r>
      <w:proofErr w:type="gramEnd"/>
      <w:r>
        <w:t xml:space="preserve"> and Investment Division</w:t>
      </w:r>
      <w:r>
        <w:br/>
        <w:t>The Treasury</w:t>
      </w:r>
      <w:r>
        <w:br/>
        <w:t>Langton Crescent</w:t>
      </w:r>
      <w:r>
        <w:br/>
        <w:t>Parkes ACT 2600</w:t>
      </w:r>
    </w:p>
    <w:p w14:paraId="4FEEAD6A" w14:textId="77777777" w:rsidR="00CE2BCA" w:rsidRDefault="00CE2BCA" w:rsidP="009F56BC"/>
    <w:p w14:paraId="50E2D0F9" w14:textId="29559029" w:rsidR="00CE2BCA" w:rsidRPr="006421A7" w:rsidRDefault="00CE2BCA" w:rsidP="009F56BC">
      <w:pPr>
        <w:rPr>
          <w:b/>
          <w:bCs/>
        </w:rPr>
      </w:pPr>
      <w:r w:rsidRPr="006421A7">
        <w:rPr>
          <w:b/>
          <w:bCs/>
        </w:rPr>
        <w:t xml:space="preserve">Re: </w:t>
      </w:r>
      <w:r w:rsidR="000F4A5C" w:rsidRPr="006421A7">
        <w:rPr>
          <w:b/>
          <w:bCs/>
        </w:rPr>
        <w:t xml:space="preserve">Review of the Quality of Financial Advice Draft Terms of Reference </w:t>
      </w:r>
      <w:r w:rsidRPr="006421A7">
        <w:rPr>
          <w:b/>
          <w:bCs/>
        </w:rPr>
        <w:t>consultation</w:t>
      </w:r>
    </w:p>
    <w:p w14:paraId="13E24AE8" w14:textId="0715EED2" w:rsidR="00CE2BCA" w:rsidRPr="009F56BC" w:rsidRDefault="000F4A5C" w:rsidP="009F56BC">
      <w:r w:rsidRPr="009F56BC">
        <w:t xml:space="preserve">Ignition Advice </w:t>
      </w:r>
      <w:r w:rsidR="00CE2BCA" w:rsidRPr="009F56BC">
        <w:t xml:space="preserve">welcomes the opportunity to </w:t>
      </w:r>
      <w:r w:rsidRPr="009F56BC">
        <w:t xml:space="preserve">provide feedback </w:t>
      </w:r>
      <w:r w:rsidR="00CE2BCA" w:rsidRPr="009F56BC">
        <w:t xml:space="preserve">in response to </w:t>
      </w:r>
      <w:r w:rsidRPr="009F56BC">
        <w:t>the publication of the draft terms of reference of</w:t>
      </w:r>
      <w:r w:rsidR="4946897F" w:rsidRPr="009F56BC">
        <w:t xml:space="preserve"> the</w:t>
      </w:r>
      <w:r w:rsidRPr="009F56BC">
        <w:t xml:space="preserve"> Quality of Advice Review issued in December </w:t>
      </w:r>
      <w:r w:rsidR="00CE2BCA" w:rsidRPr="009F56BC">
        <w:t>2021.</w:t>
      </w:r>
    </w:p>
    <w:p w14:paraId="78BDA386" w14:textId="20327394" w:rsidR="007F18E2" w:rsidRDefault="007F18E2" w:rsidP="009F56BC">
      <w:r>
        <w:t xml:space="preserve">Ignition Advice is the leading Australian </w:t>
      </w:r>
      <w:r w:rsidR="00702CE9">
        <w:t xml:space="preserve">business specialising in digital advice technology.  </w:t>
      </w:r>
      <w:r w:rsidR="00C14711">
        <w:t xml:space="preserve">Our vision is to be the leading global advice technology for </w:t>
      </w:r>
      <w:r w:rsidR="003A5A67">
        <w:t xml:space="preserve">enterprises seeking to help </w:t>
      </w:r>
      <w:r w:rsidR="00406245">
        <w:t xml:space="preserve">more </w:t>
      </w:r>
      <w:r w:rsidR="003A5A67">
        <w:t>customers</w:t>
      </w:r>
      <w:r w:rsidR="00FD0D6D">
        <w:t xml:space="preserve"> access financial advice in a fast and scalable way</w:t>
      </w:r>
      <w:r w:rsidR="003A5A67">
        <w:t xml:space="preserve">.  </w:t>
      </w:r>
      <w:r w:rsidR="00C3271F">
        <w:t xml:space="preserve">In addition to operating in Australia, our clients include </w:t>
      </w:r>
      <w:r w:rsidR="00CB7741">
        <w:t xml:space="preserve">major European financial institutions </w:t>
      </w:r>
      <w:r w:rsidR="00C3271F">
        <w:t xml:space="preserve">Bank of Ireland and </w:t>
      </w:r>
      <w:r w:rsidR="00EB4EBC">
        <w:t xml:space="preserve">the UK’s M&amp;G Plc.  </w:t>
      </w:r>
    </w:p>
    <w:p w14:paraId="76F61475" w14:textId="06C7B1B7" w:rsidR="00EF2610" w:rsidRDefault="00467CA8" w:rsidP="009F56BC">
      <w:r>
        <w:t>W</w:t>
      </w:r>
      <w:r w:rsidR="00CE2BCA">
        <w:t xml:space="preserve">e welcome the </w:t>
      </w:r>
      <w:r>
        <w:t xml:space="preserve">Quality of Advice Review’s </w:t>
      </w:r>
      <w:r w:rsidR="00EE3B07">
        <w:t>goal</w:t>
      </w:r>
      <w:r>
        <w:t xml:space="preserve"> </w:t>
      </w:r>
      <w:r w:rsidR="00CE2BCA">
        <w:t xml:space="preserve">to </w:t>
      </w:r>
      <w:r w:rsidR="00FC6C51">
        <w:t>“</w:t>
      </w:r>
      <w:r w:rsidR="00FC6C51" w:rsidRPr="00FC6C51">
        <w:t>consider how the regulatory framework could better enable the provision of high quality, accessible and affordable financial advice for retail investors</w:t>
      </w:r>
      <w:r w:rsidR="00FC6C51">
        <w:t xml:space="preserve">”.  </w:t>
      </w:r>
    </w:p>
    <w:p w14:paraId="0AF7CE51" w14:textId="214E6CCF" w:rsidR="00BD05FA" w:rsidRDefault="0021466D" w:rsidP="009F56BC">
      <w:r>
        <w:t>This is timely</w:t>
      </w:r>
      <w:r w:rsidR="00BD05FA">
        <w:t>.</w:t>
      </w:r>
      <w:r>
        <w:t xml:space="preserve">  </w:t>
      </w:r>
      <w:r w:rsidR="00823DCC">
        <w:t xml:space="preserve">We observe that </w:t>
      </w:r>
      <w:r w:rsidR="00F5042C">
        <w:t xml:space="preserve">the policy responses to the </w:t>
      </w:r>
      <w:r w:rsidR="00823DCC">
        <w:t xml:space="preserve">Royal Commission into Misconduct </w:t>
      </w:r>
      <w:r w:rsidR="55B36B10">
        <w:t xml:space="preserve">in the </w:t>
      </w:r>
      <w:r w:rsidR="00823DCC">
        <w:t xml:space="preserve">Banking, Superannuation and Financial Services Industry, </w:t>
      </w:r>
      <w:r w:rsidR="00F5042C">
        <w:t xml:space="preserve">have </w:t>
      </w:r>
      <w:r>
        <w:t xml:space="preserve">in fact </w:t>
      </w:r>
      <w:r w:rsidR="00F5042C">
        <w:t xml:space="preserve">resulted in </w:t>
      </w:r>
      <w:r w:rsidR="009C61CE">
        <w:t xml:space="preserve">advice becoming less accessible and </w:t>
      </w:r>
      <w:r w:rsidR="2F0D2C23">
        <w:t xml:space="preserve">less </w:t>
      </w:r>
      <w:r w:rsidR="009C61CE">
        <w:t xml:space="preserve">affordable.  </w:t>
      </w:r>
    </w:p>
    <w:p w14:paraId="07248F66" w14:textId="37482419" w:rsidR="00CE2BCA" w:rsidRDefault="0025581E" w:rsidP="009F56BC">
      <w:r>
        <w:t xml:space="preserve">Large </w:t>
      </w:r>
      <w:r w:rsidR="00BD05FA">
        <w:t>numbers of advisers have left the industry</w:t>
      </w:r>
      <w:r>
        <w:t xml:space="preserve">, resulting in a </w:t>
      </w:r>
      <w:r w:rsidR="009C61CE">
        <w:t xml:space="preserve">contraction of </w:t>
      </w:r>
      <w:r w:rsidR="00EF2610">
        <w:t xml:space="preserve">traditional advice </w:t>
      </w:r>
      <w:r w:rsidR="009C61CE">
        <w:t>capacity</w:t>
      </w:r>
      <w:r w:rsidR="006F2607">
        <w:t xml:space="preserve">.  For those </w:t>
      </w:r>
      <w:r w:rsidR="4CDBF9D3">
        <w:t xml:space="preserve">who </w:t>
      </w:r>
      <w:r w:rsidR="006F2607">
        <w:t xml:space="preserve">remain, the </w:t>
      </w:r>
      <w:r w:rsidR="00EE694A">
        <w:t xml:space="preserve">regulatory framework </w:t>
      </w:r>
      <w:r w:rsidR="00DD25F3">
        <w:t>has become significantly more costly to operate within</w:t>
      </w:r>
      <w:r w:rsidR="00B744C3">
        <w:t xml:space="preserve">, resulting in </w:t>
      </w:r>
      <w:r w:rsidR="00EF2610">
        <w:t>advice provision</w:t>
      </w:r>
      <w:r w:rsidR="00B744C3">
        <w:t xml:space="preserve"> becoming more costly as well</w:t>
      </w:r>
      <w:r w:rsidR="00EF2610">
        <w:t xml:space="preserve">.  </w:t>
      </w:r>
      <w:r w:rsidR="00E01B7D">
        <w:t xml:space="preserve">The ability to </w:t>
      </w:r>
      <w:r w:rsidR="00110FFA">
        <w:t xml:space="preserve">secure financial </w:t>
      </w:r>
      <w:r w:rsidR="00E01B7D">
        <w:t xml:space="preserve">advice at affordable price points (from the perspective of the </w:t>
      </w:r>
      <w:r w:rsidR="00110FFA">
        <w:t>retail investor</w:t>
      </w:r>
      <w:r w:rsidR="00E01B7D">
        <w:t xml:space="preserve">) has largely </w:t>
      </w:r>
      <w:r w:rsidR="00B33A17">
        <w:t>disappeared</w:t>
      </w:r>
      <w:r w:rsidR="00E01B7D">
        <w:t xml:space="preserve">, and it is now common to see traditional advice providers setting </w:t>
      </w:r>
      <w:r w:rsidR="00516A0B">
        <w:t xml:space="preserve">minimum </w:t>
      </w:r>
      <w:r w:rsidR="00E01B7D">
        <w:t xml:space="preserve">investible asset </w:t>
      </w:r>
      <w:r w:rsidR="00516A0B">
        <w:t xml:space="preserve">levels </w:t>
      </w:r>
      <w:r w:rsidR="00E01B7D">
        <w:t>well above typical assets of mass-market retirees and investors</w:t>
      </w:r>
      <w:r w:rsidR="00516A0B">
        <w:t>.</w:t>
      </w:r>
    </w:p>
    <w:p w14:paraId="0768E90E" w14:textId="0370D43C" w:rsidR="009F56BC" w:rsidRDefault="00C74684" w:rsidP="00761580">
      <w:r>
        <w:t>A large advice gap has opened up</w:t>
      </w:r>
      <w:r w:rsidR="00BD0196">
        <w:t xml:space="preserve"> between the </w:t>
      </w:r>
      <w:r w:rsidR="00E4262C">
        <w:t xml:space="preserve">growing demand </w:t>
      </w:r>
      <w:r w:rsidR="007E6CD6">
        <w:t xml:space="preserve">from </w:t>
      </w:r>
      <w:r w:rsidR="00BD0196">
        <w:t xml:space="preserve">retail investors who would benefit from advice </w:t>
      </w:r>
      <w:r w:rsidR="007E6CD6">
        <w:t xml:space="preserve">at affordable prices </w:t>
      </w:r>
      <w:r w:rsidR="5C34D287">
        <w:t xml:space="preserve">and </w:t>
      </w:r>
      <w:r w:rsidR="00BD0196">
        <w:t xml:space="preserve">the </w:t>
      </w:r>
      <w:r w:rsidR="007E6CD6">
        <w:t xml:space="preserve">shrinking supply </w:t>
      </w:r>
      <w:r w:rsidR="00E4262C">
        <w:t xml:space="preserve">and </w:t>
      </w:r>
      <w:r w:rsidR="007E6CD6">
        <w:t xml:space="preserve">rising </w:t>
      </w:r>
      <w:r w:rsidR="00E4262C">
        <w:t xml:space="preserve">price </w:t>
      </w:r>
      <w:r w:rsidR="00203E10">
        <w:t xml:space="preserve">of traditional human-delivered financial advice.  </w:t>
      </w:r>
    </w:p>
    <w:p w14:paraId="52147C62" w14:textId="4ABD5A76" w:rsidR="00203E10" w:rsidRPr="000D6CA2" w:rsidRDefault="00B43205" w:rsidP="000D6CA2">
      <w:pPr>
        <w:ind w:left="284" w:right="521"/>
        <w:rPr>
          <w:b/>
          <w:bCs/>
          <w:spacing w:val="-3"/>
          <w:sz w:val="21"/>
          <w:szCs w:val="21"/>
        </w:rPr>
      </w:pPr>
      <w:r w:rsidRPr="000D6CA2">
        <w:rPr>
          <w:b/>
          <w:bCs/>
          <w:noProof/>
          <w:spacing w:val="-3"/>
          <w:sz w:val="21"/>
          <w:szCs w:val="21"/>
        </w:rPr>
        <w:lastRenderedPageBreak/>
        <mc:AlternateContent>
          <mc:Choice Requires="wps">
            <w:drawing>
              <wp:anchor distT="0" distB="0" distL="114300" distR="114300" simplePos="0" relativeHeight="251659264" behindDoc="0" locked="0" layoutInCell="1" allowOverlap="1" wp14:anchorId="573B60C8" wp14:editId="056D29B3">
                <wp:simplePos x="0" y="0"/>
                <wp:positionH relativeFrom="column">
                  <wp:posOffset>99060</wp:posOffset>
                </wp:positionH>
                <wp:positionV relativeFrom="paragraph">
                  <wp:posOffset>11430</wp:posOffset>
                </wp:positionV>
                <wp:extent cx="0" cy="648000"/>
                <wp:effectExtent l="19050" t="0" r="19050" b="19050"/>
                <wp:wrapNone/>
                <wp:docPr id="1" name="Straight Connector 1"/>
                <wp:cNvGraphicFramePr/>
                <a:graphic xmlns:a="http://schemas.openxmlformats.org/drawingml/2006/main">
                  <a:graphicData uri="http://schemas.microsoft.com/office/word/2010/wordprocessingShape">
                    <wps:wsp>
                      <wps:cNvCnPr/>
                      <wps:spPr>
                        <a:xfrm flipH="1">
                          <a:off x="0" y="0"/>
                          <a:ext cx="0" cy="648000"/>
                        </a:xfrm>
                        <a:prstGeom prst="line">
                          <a:avLst/>
                        </a:prstGeom>
                        <a:ln w="38100">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0D0C37" id="Straight Connector 1"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8pt,.9pt" to="7.8pt,5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" strokecolor="#3f3d3f [3205]" strokeweight="3pt">
                <v:stroke joinstyle="miter"/>
              </v:line>
            </w:pict>
          </mc:Fallback>
        </mc:AlternateContent>
      </w:r>
      <w:r w:rsidR="00EE3B07" w:rsidRPr="000D6CA2">
        <w:rPr>
          <w:b/>
          <w:bCs/>
          <w:spacing w:val="-3"/>
          <w:sz w:val="21"/>
          <w:szCs w:val="21"/>
        </w:rPr>
        <w:t>I</w:t>
      </w:r>
      <w:r w:rsidR="00203E10" w:rsidRPr="000D6CA2">
        <w:rPr>
          <w:b/>
          <w:bCs/>
          <w:spacing w:val="-3"/>
          <w:sz w:val="21"/>
          <w:szCs w:val="21"/>
        </w:rPr>
        <w:t xml:space="preserve">f a serious step change is to be made towards achieving the Review's proposed goal of "high quality, accessible and affordable financial advice for retail investors", the adoption of digital advice technologies is key. There is no other realistic route to providing low-cost, consistent, compliant, robust personal advice at the sort of scale </w:t>
      </w:r>
      <w:r w:rsidR="005C211E" w:rsidRPr="000D6CA2">
        <w:rPr>
          <w:b/>
          <w:bCs/>
          <w:spacing w:val="-3"/>
          <w:sz w:val="21"/>
          <w:szCs w:val="21"/>
        </w:rPr>
        <w:t>required to materially close the advice gap</w:t>
      </w:r>
      <w:r w:rsidR="00203E10" w:rsidRPr="000D6CA2">
        <w:rPr>
          <w:b/>
          <w:bCs/>
          <w:spacing w:val="-3"/>
          <w:sz w:val="21"/>
          <w:szCs w:val="21"/>
        </w:rPr>
        <w:t>.</w:t>
      </w:r>
    </w:p>
    <w:p w14:paraId="5807F500" w14:textId="179B3C94" w:rsidR="003C5600" w:rsidRDefault="00F255AF" w:rsidP="005401D0">
      <w:pPr>
        <w:spacing w:after="160"/>
      </w:pPr>
      <w:r>
        <w:t>There is</w:t>
      </w:r>
      <w:r w:rsidR="0ABB674F">
        <w:t>, however,</w:t>
      </w:r>
      <w:r>
        <w:t xml:space="preserve"> </w:t>
      </w:r>
      <w:r w:rsidR="005D48A3">
        <w:t xml:space="preserve">considerable </w:t>
      </w:r>
      <w:r>
        <w:t xml:space="preserve">confusion </w:t>
      </w:r>
      <w:r w:rsidR="00B03CAB">
        <w:t xml:space="preserve">across the </w:t>
      </w:r>
      <w:r w:rsidR="00A22C9B">
        <w:t xml:space="preserve">Australian </w:t>
      </w:r>
      <w:r w:rsidR="00EE6338">
        <w:t xml:space="preserve">financial services </w:t>
      </w:r>
      <w:r w:rsidR="00B03CAB">
        <w:t xml:space="preserve">industry about </w:t>
      </w:r>
      <w:r w:rsidR="00156AD8">
        <w:t xml:space="preserve">whether digital advice </w:t>
      </w:r>
      <w:r w:rsidR="009700B0">
        <w:t xml:space="preserve">(defined </w:t>
      </w:r>
      <w:r w:rsidR="04DF301F">
        <w:t xml:space="preserve">below </w:t>
      </w:r>
      <w:r w:rsidR="009700B0">
        <w:t xml:space="preserve">as the digital enablement of advice delivery) </w:t>
      </w:r>
      <w:r w:rsidR="00156AD8">
        <w:t xml:space="preserve">can be </w:t>
      </w:r>
      <w:r w:rsidR="003C5600">
        <w:t>deliver</w:t>
      </w:r>
      <w:r w:rsidR="00BA606C">
        <w:t>ed</w:t>
      </w:r>
      <w:r w:rsidR="003C5600">
        <w:t xml:space="preserve"> in a </w:t>
      </w:r>
      <w:r w:rsidR="00156AD8">
        <w:t>compliant</w:t>
      </w:r>
      <w:r w:rsidR="003C5600">
        <w:t xml:space="preserve"> manner</w:t>
      </w:r>
      <w:r w:rsidR="00156AD8">
        <w:t xml:space="preserve">.  </w:t>
      </w:r>
      <w:r w:rsidR="00EE6338">
        <w:t xml:space="preserve">This </w:t>
      </w:r>
      <w:r w:rsidR="00FB1BD3">
        <w:t xml:space="preserve">compares unfavourably </w:t>
      </w:r>
      <w:r w:rsidR="00EE6338">
        <w:t>with the UK and Irish financial services industry</w:t>
      </w:r>
      <w:r w:rsidR="00FB1BD3">
        <w:t>, where digital advice is moving towards mainstream</w:t>
      </w:r>
      <w:r w:rsidR="00EE6338">
        <w:t xml:space="preserve"> </w:t>
      </w:r>
      <w:r w:rsidR="00FB1BD3">
        <w:t>adoption</w:t>
      </w:r>
      <w:r w:rsidR="006F2705">
        <w:t>, and “compliance by design” is considered a significant advantage of digital advice</w:t>
      </w:r>
      <w:r w:rsidR="00FB1BD3">
        <w:t xml:space="preserve">.  </w:t>
      </w:r>
    </w:p>
    <w:p w14:paraId="39F4477F" w14:textId="229EA200" w:rsidR="00F255AF" w:rsidRDefault="004F547A" w:rsidP="005401D0">
      <w:pPr>
        <w:spacing w:after="160"/>
      </w:pPr>
      <w:r>
        <w:t xml:space="preserve">Ignition Advice has published a white paper titled </w:t>
      </w:r>
      <w:r w:rsidR="0032121E">
        <w:t xml:space="preserve">“Compliance myths </w:t>
      </w:r>
      <w:r w:rsidR="00257576">
        <w:t xml:space="preserve">about digital advice” </w:t>
      </w:r>
      <w:r w:rsidR="00C91449">
        <w:t xml:space="preserve">(attached to this submission) </w:t>
      </w:r>
      <w:r w:rsidR="003C5600">
        <w:t xml:space="preserve">which </w:t>
      </w:r>
      <w:r w:rsidR="004C2CD3">
        <w:t xml:space="preserve">discusses </w:t>
      </w:r>
      <w:r w:rsidR="001C7CDA">
        <w:t xml:space="preserve">how </w:t>
      </w:r>
      <w:r w:rsidR="70A095A6">
        <w:t xml:space="preserve">regulatory settings </w:t>
      </w:r>
      <w:r w:rsidR="71987972">
        <w:t xml:space="preserve">in Australia </w:t>
      </w:r>
      <w:r w:rsidR="001C7CDA">
        <w:t>already permit:</w:t>
      </w:r>
    </w:p>
    <w:p w14:paraId="41C10112" w14:textId="2A8C6666" w:rsidR="001C7CDA" w:rsidRDefault="00D80DF6" w:rsidP="009F56BC">
      <w:pPr>
        <w:pStyle w:val="ListParagraph"/>
        <w:numPr>
          <w:ilvl w:val="0"/>
          <w:numId w:val="1"/>
        </w:numPr>
      </w:pPr>
      <w:r>
        <w:t>S</w:t>
      </w:r>
      <w:r w:rsidR="00872CE6">
        <w:t>caled advice</w:t>
      </w:r>
      <w:r>
        <w:t xml:space="preserve">, both </w:t>
      </w:r>
      <w:r w:rsidR="00872CE6">
        <w:t>encouraged by ASIC and permitted by law</w:t>
      </w:r>
      <w:r>
        <w:t>.</w:t>
      </w:r>
    </w:p>
    <w:p w14:paraId="15E4AC79" w14:textId="589EFFEE" w:rsidR="00872CE6" w:rsidRDefault="00D80DF6" w:rsidP="009F56BC">
      <w:pPr>
        <w:pStyle w:val="ListParagraph"/>
        <w:numPr>
          <w:ilvl w:val="0"/>
          <w:numId w:val="1"/>
        </w:numPr>
      </w:pPr>
      <w:r>
        <w:t>S</w:t>
      </w:r>
      <w:r w:rsidR="00872CE6">
        <w:t xml:space="preserve">ingle issue personal advice, including in relation to </w:t>
      </w:r>
      <w:r>
        <w:t xml:space="preserve">an institution’s </w:t>
      </w:r>
      <w:r w:rsidR="00872CE6">
        <w:t>own products</w:t>
      </w:r>
      <w:r>
        <w:t>.</w:t>
      </w:r>
    </w:p>
    <w:p w14:paraId="4312DDF5" w14:textId="5B8EEC5B" w:rsidR="00B7211B" w:rsidRDefault="00AB4300" w:rsidP="005401D0">
      <w:pPr>
        <w:pStyle w:val="ListParagraph"/>
        <w:numPr>
          <w:ilvl w:val="0"/>
          <w:numId w:val="1"/>
        </w:numPr>
        <w:spacing w:after="160"/>
        <w:ind w:left="714" w:hanging="357"/>
      </w:pPr>
      <w:r>
        <w:t xml:space="preserve">Satisfaction of </w:t>
      </w:r>
      <w:r w:rsidR="1823821C">
        <w:t xml:space="preserve">the </w:t>
      </w:r>
      <w:r w:rsidR="00B7211B">
        <w:t>Best Interests Duty</w:t>
      </w:r>
      <w:r w:rsidR="781BD7AA">
        <w:t xml:space="preserve"> and related obligations</w:t>
      </w:r>
      <w:r>
        <w:t>.</w:t>
      </w:r>
    </w:p>
    <w:p w14:paraId="1AE21B19" w14:textId="60B73581" w:rsidR="00B03CAB" w:rsidRDefault="00AB4300" w:rsidP="005401D0">
      <w:pPr>
        <w:spacing w:after="160"/>
      </w:pPr>
      <w:r>
        <w:t xml:space="preserve">There have also been supportive comments from senior ASIC </w:t>
      </w:r>
      <w:r w:rsidR="00BA606C">
        <w:t xml:space="preserve">leaders consistent with the above.  </w:t>
      </w:r>
    </w:p>
    <w:p w14:paraId="52556F56" w14:textId="6F99CDF0" w:rsidR="00AB4300" w:rsidRDefault="007A27AB" w:rsidP="005401D0">
      <w:pPr>
        <w:spacing w:after="160"/>
      </w:pPr>
      <w:r>
        <w:t xml:space="preserve">Notwithstanding, </w:t>
      </w:r>
      <w:r w:rsidR="009F67D1">
        <w:t xml:space="preserve">there remains considerable </w:t>
      </w:r>
      <w:r w:rsidR="00C17BF7">
        <w:t xml:space="preserve">institutional </w:t>
      </w:r>
      <w:r w:rsidR="009F67D1">
        <w:t>uncertainty and risk aversion</w:t>
      </w:r>
      <w:r w:rsidR="00B40D85">
        <w:t xml:space="preserve"> </w:t>
      </w:r>
      <w:r w:rsidR="009F67D1">
        <w:t>inhibiting the take-up of digital advice</w:t>
      </w:r>
      <w:r w:rsidR="00C17BF7">
        <w:t xml:space="preserve"> </w:t>
      </w:r>
      <w:r w:rsidR="00785571">
        <w:t>solutions</w:t>
      </w:r>
      <w:r w:rsidR="00C17BF7">
        <w:t>.</w:t>
      </w:r>
      <w:r w:rsidR="00B40D85">
        <w:t xml:space="preserve">  The Review is an important opportunity </w:t>
      </w:r>
      <w:r w:rsidR="66830ACC">
        <w:t xml:space="preserve">to </w:t>
      </w:r>
      <w:r w:rsidR="00907878">
        <w:t xml:space="preserve">clarify and confirm there is no fundamental obstacle to advice being delivered in a compliant manner via digital means.  </w:t>
      </w:r>
    </w:p>
    <w:p w14:paraId="3D80E4E1" w14:textId="001DDA49" w:rsidR="003F17CA" w:rsidRDefault="005C211E" w:rsidP="005401D0">
      <w:pPr>
        <w:spacing w:after="160"/>
      </w:pPr>
      <w:r>
        <w:t xml:space="preserve">Ignition Advice </w:t>
      </w:r>
      <w:r w:rsidR="00CE2BCA">
        <w:t>notes</w:t>
      </w:r>
      <w:r w:rsidR="003A400C">
        <w:t xml:space="preserve"> </w:t>
      </w:r>
      <w:r w:rsidR="00F40DF0">
        <w:t>the term “digital advice” is increasingly used</w:t>
      </w:r>
      <w:r w:rsidR="009A598B">
        <w:t xml:space="preserve">, </w:t>
      </w:r>
      <w:r w:rsidR="002209B6">
        <w:t xml:space="preserve">but </w:t>
      </w:r>
      <w:r w:rsidR="4E2ABB08">
        <w:t>currently</w:t>
      </w:r>
      <w:r w:rsidR="009A598B">
        <w:t xml:space="preserve"> encompasses </w:t>
      </w:r>
      <w:r w:rsidR="002209B6">
        <w:t xml:space="preserve">a broad spectrum of services </w:t>
      </w:r>
      <w:r w:rsidR="2AB5BC4D">
        <w:t>that includ</w:t>
      </w:r>
      <w:r w:rsidR="0CCFA03A">
        <w:t>e</w:t>
      </w:r>
      <w:r w:rsidR="2AB5BC4D">
        <w:t xml:space="preserve"> </w:t>
      </w:r>
      <w:r w:rsidR="2C859FEC">
        <w:t xml:space="preserve">education, </w:t>
      </w:r>
      <w:proofErr w:type="gramStart"/>
      <w:r w:rsidR="00215FE7">
        <w:t>guidance</w:t>
      </w:r>
      <w:proofErr w:type="gramEnd"/>
      <w:r w:rsidR="00215FE7">
        <w:t xml:space="preserve"> </w:t>
      </w:r>
      <w:r w:rsidR="39C62847">
        <w:t xml:space="preserve">and </w:t>
      </w:r>
      <w:r w:rsidR="00EE2763">
        <w:t>advice to retail investors</w:t>
      </w:r>
      <w:r w:rsidR="009A659E">
        <w:t xml:space="preserve"> (</w:t>
      </w:r>
      <w:r w:rsidR="0015BEF2">
        <w:t>including</w:t>
      </w:r>
      <w:r w:rsidR="5F8DEC5A">
        <w:t xml:space="preserve"> </w:t>
      </w:r>
      <w:r w:rsidR="009A659E">
        <w:t>investors in managed investment schemes</w:t>
      </w:r>
      <w:r w:rsidR="4D52CA7F">
        <w:t>, insurance policyholders</w:t>
      </w:r>
      <w:r w:rsidR="009A659E">
        <w:t xml:space="preserve"> and members of superannuation funds).</w:t>
      </w:r>
      <w:r w:rsidR="005D5FBD">
        <w:t xml:space="preserve">  The Review </w:t>
      </w:r>
      <w:r w:rsidR="04388418">
        <w:t xml:space="preserve">may </w:t>
      </w:r>
      <w:r w:rsidR="005D5FBD">
        <w:t xml:space="preserve">find it useful to categorise the main types of </w:t>
      </w:r>
      <w:r w:rsidR="003F17CA">
        <w:t>services to which the term “digital advice” is applied, and we offer the following framework:</w:t>
      </w:r>
    </w:p>
    <w:p w14:paraId="2BA64733" w14:textId="5BBDEA1B" w:rsidR="00971CCF" w:rsidRPr="005401D0" w:rsidRDefault="00D764D4" w:rsidP="005401D0">
      <w:pPr>
        <w:pStyle w:val="ListParagraph"/>
        <w:numPr>
          <w:ilvl w:val="0"/>
          <w:numId w:val="2"/>
        </w:numPr>
        <w:rPr>
          <w:rFonts w:eastAsiaTheme="minorEastAsia"/>
          <w:sz w:val="12"/>
          <w:szCs w:val="12"/>
        </w:rPr>
      </w:pPr>
      <w:r w:rsidRPr="131D90F3">
        <w:t xml:space="preserve">Financial </w:t>
      </w:r>
      <w:r w:rsidR="274F3B21" w:rsidRPr="131D90F3">
        <w:t xml:space="preserve">tools and </w:t>
      </w:r>
      <w:r w:rsidR="008767E1" w:rsidRPr="131D90F3">
        <w:t>calculators</w:t>
      </w:r>
      <w:r w:rsidR="58742E9B" w:rsidRPr="131D90F3">
        <w:t xml:space="preserve"> (along with </w:t>
      </w:r>
      <w:r w:rsidR="66834C29" w:rsidRPr="131D90F3">
        <w:t>education</w:t>
      </w:r>
      <w:r w:rsidR="597E8367" w:rsidRPr="131D90F3">
        <w:t xml:space="preserve"> </w:t>
      </w:r>
      <w:r w:rsidR="3DDC8DF5" w:rsidRPr="131D90F3">
        <w:t xml:space="preserve">and </w:t>
      </w:r>
      <w:r w:rsidR="66834C29" w:rsidRPr="131D90F3">
        <w:t>general advice</w:t>
      </w:r>
      <w:r w:rsidR="60D3D588" w:rsidRPr="131D90F3">
        <w:t>)</w:t>
      </w:r>
      <w:r w:rsidR="51105C76" w:rsidRPr="131D90F3">
        <w:t xml:space="preserve"> delivered online are </w:t>
      </w:r>
      <w:r w:rsidR="51105C76" w:rsidRPr="00ED7455">
        <w:rPr>
          <w:i/>
          <w:iCs/>
        </w:rPr>
        <w:t>guidance</w:t>
      </w:r>
      <w:r w:rsidR="760B494B" w:rsidRPr="131D90F3">
        <w:t>,</w:t>
      </w:r>
      <w:r w:rsidR="51105C76" w:rsidRPr="131D90F3">
        <w:t xml:space="preserve"> rather than financial advice</w:t>
      </w:r>
      <w:r w:rsidR="66834C29" w:rsidRPr="131D90F3">
        <w:t xml:space="preserve">. ASIC defines these as </w:t>
      </w:r>
      <w:r w:rsidR="66834C29" w:rsidRPr="131D90F3">
        <w:rPr>
          <w:i/>
          <w:iCs/>
        </w:rPr>
        <w:t>forecasting tools that are intended to be a helpful prompt for consumers to review their financial situation, and if appropriate, seek further information or financial advice</w:t>
      </w:r>
      <w:r w:rsidR="66834C29" w:rsidRPr="131D90F3">
        <w:t>. Guidance</w:t>
      </w:r>
      <w:r w:rsidR="155CF9FE" w:rsidRPr="131D90F3">
        <w:t xml:space="preserve"> tools</w:t>
      </w:r>
      <w:r w:rsidR="66834C29" w:rsidRPr="131D90F3">
        <w:t xml:space="preserve"> receive special regulatory carveouts </w:t>
      </w:r>
      <w:r w:rsidR="00CF5C46" w:rsidRPr="131D90F3">
        <w:t xml:space="preserve">which </w:t>
      </w:r>
      <w:r w:rsidR="66834C29" w:rsidRPr="131D90F3">
        <w:t>ensure</w:t>
      </w:r>
      <w:r w:rsidR="08AEA139" w:rsidRPr="131D90F3">
        <w:t>s</w:t>
      </w:r>
      <w:r w:rsidR="66834C29" w:rsidRPr="131D90F3">
        <w:t xml:space="preserve"> </w:t>
      </w:r>
      <w:r w:rsidR="00CF5C46" w:rsidRPr="131D90F3">
        <w:t xml:space="preserve">they are </w:t>
      </w:r>
      <w:r w:rsidR="66834C29" w:rsidRPr="131D90F3">
        <w:t>not considered to be</w:t>
      </w:r>
      <w:r w:rsidR="00CF5C46" w:rsidRPr="131D90F3">
        <w:t xml:space="preserve"> advice</w:t>
      </w:r>
      <w:r w:rsidR="66834C29" w:rsidRPr="131D90F3">
        <w:t>, but in return are limited in relation to their assumptions</w:t>
      </w:r>
      <w:r w:rsidR="00CF5C46" w:rsidRPr="131D90F3">
        <w:t>,</w:t>
      </w:r>
      <w:r w:rsidR="66834C29" w:rsidRPr="131D90F3">
        <w:t xml:space="preserve"> and the disclosures customers need to understand</w:t>
      </w:r>
      <w:r w:rsidR="005168D8" w:rsidRPr="131D90F3">
        <w:t>.</w:t>
      </w:r>
      <w:r w:rsidR="66834C29" w:rsidRPr="131D90F3">
        <w:t xml:space="preserve"> </w:t>
      </w:r>
      <w:r>
        <w:br/>
      </w:r>
    </w:p>
    <w:p w14:paraId="2D9209D0" w14:textId="7E4472BB" w:rsidR="00971CCF" w:rsidRDefault="008A56C8" w:rsidP="005401D0">
      <w:pPr>
        <w:pStyle w:val="ListParagraph"/>
        <w:numPr>
          <w:ilvl w:val="0"/>
          <w:numId w:val="2"/>
        </w:numPr>
      </w:pPr>
      <w:r w:rsidRPr="005542BA">
        <w:rPr>
          <w:b/>
          <w:bCs/>
          <w:i/>
          <w:iCs/>
        </w:rPr>
        <w:t>Robo-advice</w:t>
      </w:r>
      <w:r w:rsidRPr="131D90F3">
        <w:rPr>
          <w:b/>
          <w:bCs/>
        </w:rPr>
        <w:t xml:space="preserve"> is </w:t>
      </w:r>
      <w:r w:rsidR="002E48A9" w:rsidRPr="131D90F3">
        <w:rPr>
          <w:b/>
          <w:bCs/>
        </w:rPr>
        <w:t xml:space="preserve">primarily or solely about </w:t>
      </w:r>
      <w:r w:rsidR="00A43B9F" w:rsidRPr="131D90F3">
        <w:rPr>
          <w:b/>
          <w:bCs/>
        </w:rPr>
        <w:t>investment</w:t>
      </w:r>
      <w:r w:rsidR="002D66E8" w:rsidRPr="131D90F3">
        <w:rPr>
          <w:b/>
          <w:bCs/>
        </w:rPr>
        <w:t xml:space="preserve"> advice</w:t>
      </w:r>
      <w:r w:rsidR="00A32F3E">
        <w:rPr>
          <w:b/>
          <w:bCs/>
        </w:rPr>
        <w:t>,</w:t>
      </w:r>
      <w:r w:rsidR="002D66E8" w:rsidRPr="131D90F3">
        <w:rPr>
          <w:b/>
          <w:bCs/>
        </w:rPr>
        <w:t xml:space="preserve"> rather than financial advice</w:t>
      </w:r>
      <w:r w:rsidR="00A43B9F">
        <w:t xml:space="preserve">.  </w:t>
      </w:r>
      <w:r w:rsidR="76E8A06F">
        <w:t>Robo-advice</w:t>
      </w:r>
      <w:r w:rsidR="00A43B9F">
        <w:t xml:space="preserve"> is </w:t>
      </w:r>
      <w:r>
        <w:t>typically an online service which takes customers through a simple fact-find</w:t>
      </w:r>
      <w:r w:rsidR="00A32F3E">
        <w:t>,</w:t>
      </w:r>
      <w:r>
        <w:t xml:space="preserve"> and then uses algorithm calculators to allocate or suggest a suitable investment portfolio. Robo-advisers provide customers with an opportunity to self-serve, and can be a quicker, more affordable way to invest savings.  </w:t>
      </w:r>
      <w:r w:rsidR="00565C69">
        <w:t xml:space="preserve">Robo-advice </w:t>
      </w:r>
      <w:r w:rsidR="00A86D79">
        <w:t xml:space="preserve">is </w:t>
      </w:r>
      <w:r w:rsidR="00C601E9">
        <w:t xml:space="preserve">delivered as either </w:t>
      </w:r>
      <w:r w:rsidR="00C601E9" w:rsidRPr="00FF2CDB">
        <w:rPr>
          <w:b/>
          <w:bCs/>
        </w:rPr>
        <w:t>general advice or personal advice</w:t>
      </w:r>
      <w:r w:rsidR="00C601E9">
        <w:t>, depending on the situation</w:t>
      </w:r>
      <w:r w:rsidR="00976732">
        <w:t xml:space="preserve">. </w:t>
      </w:r>
      <w:r>
        <w:t xml:space="preserve">Because of </w:t>
      </w:r>
      <w:r w:rsidR="1E87A38F">
        <w:t xml:space="preserve">its </w:t>
      </w:r>
      <w:r>
        <w:t>relative simplicity</w:t>
      </w:r>
      <w:r w:rsidR="00976732">
        <w:t xml:space="preserve"> and limitation to investments</w:t>
      </w:r>
      <w:r>
        <w:t xml:space="preserve">, there are many providers of robo-advice services, ranging from fintechs to major asset managers.  </w:t>
      </w:r>
      <w:r w:rsidR="00971CCF">
        <w:t xml:space="preserve">  </w:t>
      </w:r>
      <w:r>
        <w:br/>
      </w:r>
    </w:p>
    <w:p w14:paraId="7525D8E6" w14:textId="602C0C4D" w:rsidR="003F17CA" w:rsidRDefault="008A56C8" w:rsidP="009F56BC">
      <w:pPr>
        <w:pStyle w:val="ListParagraph"/>
        <w:numPr>
          <w:ilvl w:val="0"/>
          <w:numId w:val="2"/>
        </w:numPr>
      </w:pPr>
      <w:r w:rsidRPr="007A2380">
        <w:rPr>
          <w:b/>
          <w:bCs/>
          <w:i/>
          <w:iCs/>
        </w:rPr>
        <w:lastRenderedPageBreak/>
        <w:t>Digital advice</w:t>
      </w:r>
      <w:r w:rsidRPr="131D90F3">
        <w:rPr>
          <w:b/>
          <w:bCs/>
        </w:rPr>
        <w:t xml:space="preserve"> </w:t>
      </w:r>
      <w:r w:rsidR="00E00598" w:rsidRPr="131D90F3">
        <w:rPr>
          <w:b/>
          <w:bCs/>
        </w:rPr>
        <w:t>goes further than robo-</w:t>
      </w:r>
      <w:proofErr w:type="gramStart"/>
      <w:r w:rsidR="00E00598" w:rsidRPr="131D90F3">
        <w:rPr>
          <w:b/>
          <w:bCs/>
        </w:rPr>
        <w:t>advice, and</w:t>
      </w:r>
      <w:proofErr w:type="gramEnd"/>
      <w:r w:rsidR="00E00598" w:rsidRPr="131D90F3">
        <w:rPr>
          <w:b/>
          <w:bCs/>
        </w:rPr>
        <w:t xml:space="preserve"> </w:t>
      </w:r>
      <w:r w:rsidRPr="131D90F3">
        <w:rPr>
          <w:b/>
          <w:bCs/>
        </w:rPr>
        <w:t xml:space="preserve">is the digital enablement of </w:t>
      </w:r>
      <w:r w:rsidR="002D66E8" w:rsidRPr="131D90F3">
        <w:rPr>
          <w:b/>
          <w:bCs/>
        </w:rPr>
        <w:t xml:space="preserve">financial </w:t>
      </w:r>
      <w:r w:rsidRPr="131D90F3">
        <w:rPr>
          <w:b/>
          <w:bCs/>
        </w:rPr>
        <w:t>advice delivery</w:t>
      </w:r>
      <w:r>
        <w:t>. Digital advice encompasses retirement</w:t>
      </w:r>
      <w:r w:rsidR="004F7482">
        <w:t xml:space="preserve">, </w:t>
      </w:r>
      <w:proofErr w:type="gramStart"/>
      <w:r w:rsidR="004F7482">
        <w:t>insurance</w:t>
      </w:r>
      <w:proofErr w:type="gramEnd"/>
      <w:r>
        <w:t xml:space="preserve"> and investment needs</w:t>
      </w:r>
      <w:r w:rsidR="009328D4">
        <w:t xml:space="preserve">.  It is </w:t>
      </w:r>
      <w:r w:rsidR="004833F9">
        <w:t xml:space="preserve">the digital </w:t>
      </w:r>
      <w:r>
        <w:t xml:space="preserve">delivery of </w:t>
      </w:r>
      <w:r w:rsidRPr="00152864">
        <w:rPr>
          <w:b/>
          <w:bCs/>
        </w:rPr>
        <w:t>personal advice</w:t>
      </w:r>
      <w:r w:rsidR="009328D4">
        <w:rPr>
          <w:b/>
          <w:bCs/>
        </w:rPr>
        <w:t>,</w:t>
      </w:r>
      <w:r>
        <w:t xml:space="preserve"> </w:t>
      </w:r>
      <w:r w:rsidR="00E00603">
        <w:t xml:space="preserve">and related </w:t>
      </w:r>
      <w:r>
        <w:t>Statement of Advice</w:t>
      </w:r>
      <w:r w:rsidR="009328D4">
        <w:t>,</w:t>
      </w:r>
      <w:r>
        <w:t xml:space="preserve"> </w:t>
      </w:r>
      <w:r w:rsidR="00B123D7">
        <w:t>which</w:t>
      </w:r>
      <w:r>
        <w:t xml:space="preserve"> complies with the </w:t>
      </w:r>
      <w:r w:rsidR="00143282">
        <w:t>B</w:t>
      </w:r>
      <w:r>
        <w:t xml:space="preserve">est </w:t>
      </w:r>
      <w:r w:rsidR="00143282">
        <w:t>I</w:t>
      </w:r>
      <w:r>
        <w:t>nterest</w:t>
      </w:r>
      <w:r w:rsidR="00824381">
        <w:t>s</w:t>
      </w:r>
      <w:r>
        <w:t xml:space="preserve"> </w:t>
      </w:r>
      <w:r w:rsidR="00143282">
        <w:t>D</w:t>
      </w:r>
      <w:r>
        <w:t xml:space="preserve">uty and </w:t>
      </w:r>
      <w:r w:rsidR="00510995">
        <w:t xml:space="preserve">other </w:t>
      </w:r>
      <w:r>
        <w:t xml:space="preserve">obligations. Digital advice also uses fact-finds and algorithms, but where robo-advice </w:t>
      </w:r>
      <w:r w:rsidR="00356E91">
        <w:t xml:space="preserve">outlines </w:t>
      </w:r>
      <w:r>
        <w:t xml:space="preserve">simply how to allocate </w:t>
      </w:r>
      <w:r w:rsidR="12AD7193">
        <w:t xml:space="preserve">an </w:t>
      </w:r>
      <w:r>
        <w:t xml:space="preserve">investment, digital advice </w:t>
      </w:r>
      <w:r w:rsidR="00CD5961">
        <w:t>is a holistic approach which outlines</w:t>
      </w:r>
      <w:r w:rsidR="005C24D3">
        <w:t xml:space="preserve"> (f</w:t>
      </w:r>
      <w:r w:rsidR="00CD5961">
        <w:t>or example</w:t>
      </w:r>
      <w:r w:rsidR="005C24D3">
        <w:t>)</w:t>
      </w:r>
      <w:r w:rsidR="00CD5961">
        <w:t xml:space="preserve">, </w:t>
      </w:r>
      <w:r>
        <w:t xml:space="preserve">whether you should be investing </w:t>
      </w:r>
      <w:r w:rsidR="005C24D3">
        <w:t xml:space="preserve">outside super </w:t>
      </w:r>
      <w:r>
        <w:t xml:space="preserve">or adding to </w:t>
      </w:r>
      <w:r w:rsidR="005C24D3">
        <w:t xml:space="preserve">your </w:t>
      </w:r>
      <w:r>
        <w:t>super, because of affordability, suitability</w:t>
      </w:r>
      <w:r w:rsidR="1627FA0A">
        <w:t>,</w:t>
      </w:r>
      <w:r>
        <w:t xml:space="preserve"> or complexity of advice needs.  This is a far more complex task to perform, and consequently there are far fewer providers of digital advice.</w:t>
      </w:r>
    </w:p>
    <w:p w14:paraId="701BDFD4" w14:textId="130F1334" w:rsidR="003A1F11" w:rsidRDefault="003A6FE8" w:rsidP="009F56BC">
      <w:r>
        <w:t>Each of these categories of services has a part to play</w:t>
      </w:r>
      <w:r w:rsidR="008E674A">
        <w:t xml:space="preserve"> in assisting and advising retail investors, but it will be </w:t>
      </w:r>
      <w:r w:rsidR="00567552">
        <w:t xml:space="preserve">only via </w:t>
      </w:r>
      <w:r w:rsidR="008E674A">
        <w:t xml:space="preserve">the adoption of </w:t>
      </w:r>
      <w:r w:rsidR="008E674A" w:rsidRPr="00557FD9">
        <w:rPr>
          <w:b/>
          <w:bCs/>
          <w:i/>
          <w:iCs/>
        </w:rPr>
        <w:t>digital advice</w:t>
      </w:r>
      <w:r w:rsidR="008E674A">
        <w:t xml:space="preserve"> as defined above</w:t>
      </w:r>
      <w:r w:rsidR="00567552">
        <w:t xml:space="preserve">, which </w:t>
      </w:r>
      <w:r w:rsidR="00D867B9">
        <w:t xml:space="preserve">provides for advice at scale, that </w:t>
      </w:r>
      <w:r w:rsidR="00567552">
        <w:t xml:space="preserve">will fundamentally support the Review’s proposed goal.  </w:t>
      </w:r>
    </w:p>
    <w:p w14:paraId="7A894C3F" w14:textId="77777777" w:rsidR="00CB2902" w:rsidRDefault="00814E62" w:rsidP="009F56BC">
      <w:r w:rsidRPr="00814E62">
        <w:t xml:space="preserve">We welcome the opportunity to </w:t>
      </w:r>
      <w:r w:rsidR="00BE1873">
        <w:t xml:space="preserve">comment on the Draft Terms of Reference and look forward to contributing to the Review.  </w:t>
      </w:r>
      <w:r w:rsidRPr="00814E62">
        <w:t xml:space="preserve">If you have any questions regarding our submission, please do not hesitate to contact </w:t>
      </w:r>
      <w:r w:rsidR="004A36D6">
        <w:t xml:space="preserve">Craig Keary </w:t>
      </w:r>
      <w:r w:rsidRPr="00814E62">
        <w:t xml:space="preserve">at </w:t>
      </w:r>
      <w:r w:rsidR="00CB2902">
        <w:t>craig.keary</w:t>
      </w:r>
      <w:r w:rsidRPr="00814E62">
        <w:t>@</w:t>
      </w:r>
      <w:r w:rsidR="00CB2902">
        <w:t>ignitionadvice</w:t>
      </w:r>
      <w:r w:rsidRPr="00814E62">
        <w:t xml:space="preserve">.com. </w:t>
      </w:r>
    </w:p>
    <w:p w14:paraId="0F2DAE5D" w14:textId="2D944310" w:rsidR="00CB2902" w:rsidRDefault="00814E62" w:rsidP="009F56BC">
      <w:r w:rsidRPr="00814E62">
        <w:t xml:space="preserve">Yours </w:t>
      </w:r>
      <w:r w:rsidR="00CB2902">
        <w:t>faithfully,</w:t>
      </w:r>
    </w:p>
    <w:p w14:paraId="6AE444A3" w14:textId="782EF47F" w:rsidR="00CB2902" w:rsidRPr="009F56BC" w:rsidRDefault="004E2FE9" w:rsidP="003B4CA3">
      <w:pPr>
        <w:spacing w:after="0"/>
        <w:rPr>
          <w:b/>
          <w:bCs/>
        </w:rPr>
      </w:pPr>
      <w:r w:rsidRPr="009F56BC">
        <w:rPr>
          <w:b/>
          <w:bCs/>
        </w:rPr>
        <w:t>Craig Keary</w:t>
      </w:r>
    </w:p>
    <w:p w14:paraId="5ADC0075" w14:textId="3A24CB49" w:rsidR="00B16395" w:rsidRPr="00B16395" w:rsidRDefault="00B16395" w:rsidP="009F56BC">
      <w:pPr>
        <w:spacing w:after="0"/>
      </w:pPr>
      <w:r w:rsidRPr="00B16395">
        <w:t>Ignition Chief Executive Officer, Asia Pacific</w:t>
      </w:r>
    </w:p>
    <w:p w14:paraId="450A7F44" w14:textId="77777777" w:rsidR="00B16395" w:rsidRPr="00B16395" w:rsidRDefault="00B16395" w:rsidP="009F56BC">
      <w:pPr>
        <w:spacing w:after="0"/>
      </w:pPr>
      <w:r w:rsidRPr="00B16395">
        <w:t>+61 400 466 715</w:t>
      </w:r>
    </w:p>
    <w:p w14:paraId="5B83A0BF" w14:textId="3EC129B9" w:rsidR="007D2C1C" w:rsidRPr="00B16395" w:rsidRDefault="00B16395" w:rsidP="009F56BC">
      <w:pPr>
        <w:spacing w:after="0"/>
      </w:pPr>
      <w:r w:rsidRPr="00B16395">
        <w:t>craig.keary@ignitionadvice.com</w:t>
      </w:r>
    </w:p>
    <w:p w14:paraId="1B85F78B" w14:textId="77777777" w:rsidR="007D2C1C" w:rsidRDefault="007D2C1C" w:rsidP="009F56BC"/>
    <w:p w14:paraId="6CCAA8DB" w14:textId="77777777" w:rsidR="003A1F11" w:rsidRDefault="003A1F11" w:rsidP="009F56BC"/>
    <w:sectPr w:rsidR="003A1F11" w:rsidSect="008960F6">
      <w:headerReference w:type="default" r:id="rId10"/>
      <w:footerReference w:type="default" r:id="rId11"/>
      <w:headerReference w:type="first" r:id="rId12"/>
      <w:pgSz w:w="11906" w:h="16838"/>
      <w:pgMar w:top="2977" w:right="1440" w:bottom="141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6AA430" w14:textId="77777777" w:rsidR="00EA4410" w:rsidRDefault="00EA4410" w:rsidP="009F56BC">
      <w:r>
        <w:separator/>
      </w:r>
    </w:p>
  </w:endnote>
  <w:endnote w:type="continuationSeparator" w:id="0">
    <w:p w14:paraId="1706AA80" w14:textId="77777777" w:rsidR="00EA4410" w:rsidRDefault="00EA4410" w:rsidP="009F56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5494A" w14:textId="6E047FF8" w:rsidR="009E1AF7" w:rsidRDefault="00A33EF3" w:rsidP="009E1AF7">
    <w:pPr>
      <w:pStyle w:val="Footer"/>
      <w:tabs>
        <w:tab w:val="clear" w:pos="9026"/>
      </w:tabs>
      <w:ind w:right="-330" w:firstLine="720"/>
      <w:jc w:val="right"/>
    </w:pPr>
    <w:r>
      <w:rPr>
        <w:noProof/>
      </w:rPr>
      <w:drawing>
        <wp:anchor distT="0" distB="0" distL="114300" distR="114300" simplePos="0" relativeHeight="251668480" behindDoc="1" locked="0" layoutInCell="1" allowOverlap="1" wp14:anchorId="178A469C" wp14:editId="6552F2D5">
          <wp:simplePos x="0" y="0"/>
          <wp:positionH relativeFrom="margin">
            <wp:posOffset>0</wp:posOffset>
          </wp:positionH>
          <wp:positionV relativeFrom="paragraph">
            <wp:posOffset>116205</wp:posOffset>
          </wp:positionV>
          <wp:extent cx="1028700" cy="231140"/>
          <wp:effectExtent l="0" t="0" r="0" b="0"/>
          <wp:wrapNone/>
          <wp:docPr id="33" name="Picture 33" descr="A black and white sig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ack and white sign&#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028700" cy="231140"/>
                  </a:xfrm>
                  <a:prstGeom prst="rect">
                    <a:avLst/>
                  </a:prstGeom>
                </pic:spPr>
              </pic:pic>
            </a:graphicData>
          </a:graphic>
          <wp14:sizeRelH relativeFrom="margin">
            <wp14:pctWidth>0</wp14:pctWidth>
          </wp14:sizeRelH>
          <wp14:sizeRelV relativeFrom="margin">
            <wp14:pctHeight>0</wp14:pctHeight>
          </wp14:sizeRelV>
        </wp:anchor>
      </w:drawing>
    </w:r>
    <w:r w:rsidR="009E1AF7" w:rsidRPr="009E1AF7">
      <w:rPr>
        <w:noProof/>
      </w:rPr>
      <mc:AlternateContent>
        <mc:Choice Requires="wpg">
          <w:drawing>
            <wp:anchor distT="0" distB="0" distL="114300" distR="114300" simplePos="0" relativeHeight="251667456" behindDoc="1" locked="0" layoutInCell="1" allowOverlap="1" wp14:anchorId="67BC4D7A" wp14:editId="11E92DB2">
              <wp:simplePos x="0" y="0"/>
              <wp:positionH relativeFrom="page">
                <wp:posOffset>6591300</wp:posOffset>
              </wp:positionH>
              <wp:positionV relativeFrom="page">
                <wp:posOffset>9779000</wp:posOffset>
              </wp:positionV>
              <wp:extent cx="502285" cy="563880"/>
              <wp:effectExtent l="0" t="0" r="0" b="7620"/>
              <wp:wrapNone/>
              <wp:docPr id="89" name="docshapegroup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2285" cy="563880"/>
                        <a:chOff x="10158" y="15434"/>
                        <a:chExt cx="791" cy="888"/>
                      </a:xfrm>
                    </wpg:grpSpPr>
                    <wps:wsp>
                      <wps:cNvPr id="90" name="docshape29"/>
                      <wps:cNvSpPr>
                        <a:spLocks/>
                      </wps:cNvSpPr>
                      <wps:spPr bwMode="auto">
                        <a:xfrm>
                          <a:off x="10250" y="15664"/>
                          <a:ext cx="699" cy="658"/>
                        </a:xfrm>
                        <a:custGeom>
                          <a:avLst/>
                          <a:gdLst>
                            <a:gd name="T0" fmla="+- 0 11083 10250"/>
                            <a:gd name="T1" fmla="*/ T0 w 834"/>
                            <a:gd name="T2" fmla="+- 0 15664 15664"/>
                            <a:gd name="T3" fmla="*/ 15664 h 834"/>
                            <a:gd name="T4" fmla="+- 0 10250 10250"/>
                            <a:gd name="T5" fmla="*/ T4 w 834"/>
                            <a:gd name="T6" fmla="+- 0 15664 15664"/>
                            <a:gd name="T7" fmla="*/ 15664 h 834"/>
                            <a:gd name="T8" fmla="+- 0 10250 10250"/>
                            <a:gd name="T9" fmla="*/ T8 w 834"/>
                            <a:gd name="T10" fmla="+- 0 16226 15664"/>
                            <a:gd name="T11" fmla="*/ 16226 h 834"/>
                            <a:gd name="T12" fmla="+- 0 10250 10250"/>
                            <a:gd name="T13" fmla="*/ T12 w 834"/>
                            <a:gd name="T14" fmla="+- 0 16498 15664"/>
                            <a:gd name="T15" fmla="*/ 16498 h 834"/>
                            <a:gd name="T16" fmla="+- 0 11083 10250"/>
                            <a:gd name="T17" fmla="*/ T16 w 834"/>
                            <a:gd name="T18" fmla="+- 0 16498 15664"/>
                            <a:gd name="T19" fmla="*/ 16498 h 834"/>
                            <a:gd name="T20" fmla="+- 0 11083 10250"/>
                            <a:gd name="T21" fmla="*/ T20 w 834"/>
                            <a:gd name="T22" fmla="+- 0 16226 15664"/>
                            <a:gd name="T23" fmla="*/ 16226 h 834"/>
                            <a:gd name="T24" fmla="+- 0 11083 10250"/>
                            <a:gd name="T25" fmla="*/ T24 w 834"/>
                            <a:gd name="T26" fmla="+- 0 15664 15664"/>
                            <a:gd name="T27" fmla="*/ 15664 h 834"/>
                          </a:gdLst>
                          <a:ahLst/>
                          <a:cxnLst>
                            <a:cxn ang="0">
                              <a:pos x="T1" y="T3"/>
                            </a:cxn>
                            <a:cxn ang="0">
                              <a:pos x="T5" y="T7"/>
                            </a:cxn>
                            <a:cxn ang="0">
                              <a:pos x="T9" y="T11"/>
                            </a:cxn>
                            <a:cxn ang="0">
                              <a:pos x="T13" y="T15"/>
                            </a:cxn>
                            <a:cxn ang="0">
                              <a:pos x="T17" y="T19"/>
                            </a:cxn>
                            <a:cxn ang="0">
                              <a:pos x="T21" y="T23"/>
                            </a:cxn>
                            <a:cxn ang="0">
                              <a:pos x="T25" y="T27"/>
                            </a:cxn>
                          </a:cxnLst>
                          <a:rect l="0" t="0" r="r" b="b"/>
                          <a:pathLst>
                            <a:path w="834" h="834">
                              <a:moveTo>
                                <a:pt x="833" y="0"/>
                              </a:moveTo>
                              <a:lnTo>
                                <a:pt x="0" y="0"/>
                              </a:lnTo>
                              <a:lnTo>
                                <a:pt x="0" y="562"/>
                              </a:lnTo>
                              <a:lnTo>
                                <a:pt x="0" y="834"/>
                              </a:lnTo>
                              <a:lnTo>
                                <a:pt x="833" y="834"/>
                              </a:lnTo>
                              <a:lnTo>
                                <a:pt x="833" y="562"/>
                              </a:lnTo>
                              <a:lnTo>
                                <a:pt x="833" y="0"/>
                              </a:lnTo>
                              <a:close/>
                            </a:path>
                          </a:pathLst>
                        </a:custGeom>
                        <a:solidFill>
                          <a:srgbClr val="3F3D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 name="docshape30"/>
                      <wps:cNvSpPr>
                        <a:spLocks/>
                      </wps:cNvSpPr>
                      <wps:spPr bwMode="auto">
                        <a:xfrm>
                          <a:off x="10158" y="15434"/>
                          <a:ext cx="676" cy="686"/>
                        </a:xfrm>
                        <a:prstGeom prst="rect">
                          <a:avLst/>
                        </a:prstGeom>
                        <a:solidFill>
                          <a:srgbClr val="B39A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FCF202" id="docshapegroup28" o:spid="_x0000_s1026" style="position:absolute;margin-left:519pt;margin-top:770pt;width:39.55pt;height:44.4pt;z-index:-251649024;mso-position-horizontal-relative:page;mso-position-vertical-relative:page" coordorigin="10158,15434" coordsize="791,8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">
              <v:shape id="docshape29" o:spid="_x0000_s1027" style="position:absolute;left:10250;top:15664;width:699;height:658;visibility:visible;mso-wrap-style:square;v-text-anchor:top" coordsize="834,8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" path="m833,l,,,562,,834r833,l833,562,833,xe" fillcolor="#3f3d3f" stroked="f">
                <v:path arrowok="t" o:connecttype="custom" o:connectlocs="698,12358;0,12358;0,12802;0,13016;698,13016;698,12802;698,12358" o:connectangles="0,0,0,0,0,0,0"/>
              </v:shape>
              <v:rect id="docshape30" o:spid="_x0000_s1028" style="position:absolute;left:10158;top:15434;width:676;height:6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" fillcolor="#b39a80" stroked="f">
                <v:path arrowok="t"/>
              </v:rect>
              <w10:wrap anchorx="page" anchory="page"/>
            </v:group>
          </w:pict>
        </mc:Fallback>
      </mc:AlternateContent>
    </w:r>
    <w:sdt>
      <w:sdtPr>
        <w:id w:val="-265534789"/>
        <w:docPartObj>
          <w:docPartGallery w:val="Page Numbers (Bottom of Page)"/>
          <w:docPartUnique/>
        </w:docPartObj>
      </w:sdtPr>
      <w:sdtEndPr>
        <w:rPr>
          <w:noProof/>
        </w:rPr>
      </w:sdtEndPr>
      <w:sdtContent>
        <w:r w:rsidR="009E1AF7" w:rsidRPr="009E1AF7">
          <w:rPr>
            <w:b/>
            <w:bCs/>
            <w:color w:val="FFFFFF" w:themeColor="background1"/>
          </w:rPr>
          <w:fldChar w:fldCharType="begin"/>
        </w:r>
        <w:r w:rsidR="009E1AF7" w:rsidRPr="009E1AF7">
          <w:rPr>
            <w:b/>
            <w:bCs/>
            <w:color w:val="FFFFFF" w:themeColor="background1"/>
          </w:rPr>
          <w:instrText xml:space="preserve"> PAGE   \* MERGEFORMAT </w:instrText>
        </w:r>
        <w:r w:rsidR="009E1AF7" w:rsidRPr="009E1AF7">
          <w:rPr>
            <w:b/>
            <w:bCs/>
            <w:color w:val="FFFFFF" w:themeColor="background1"/>
          </w:rPr>
          <w:fldChar w:fldCharType="separate"/>
        </w:r>
        <w:r w:rsidR="009E1AF7" w:rsidRPr="009E1AF7">
          <w:rPr>
            <w:b/>
            <w:bCs/>
            <w:noProof/>
            <w:color w:val="FFFFFF" w:themeColor="background1"/>
          </w:rPr>
          <w:t>2</w:t>
        </w:r>
        <w:r w:rsidR="009E1AF7" w:rsidRPr="009E1AF7">
          <w:rPr>
            <w:b/>
            <w:bCs/>
            <w:noProof/>
            <w:color w:val="FFFFFF" w:themeColor="background1"/>
          </w:rPr>
          <w:fldChar w:fldCharType="end"/>
        </w:r>
      </w:sdtContent>
    </w:sdt>
  </w:p>
  <w:p w14:paraId="3A39EE87" w14:textId="5E794979" w:rsidR="009D5BE0" w:rsidRDefault="009E1AF7" w:rsidP="009E1AF7">
    <w:pPr>
      <w:pStyle w:val="Footer"/>
      <w:jc w:val="center"/>
    </w:pPr>
    <w:r>
      <w:rPr>
        <w:szCs w:val="18"/>
      </w:rPr>
      <w:t>© Ignition Advice 2</w:t>
    </w:r>
    <w:r w:rsidRPr="00CE3095">
      <w:rPr>
        <w:szCs w:val="18"/>
      </w:rPr>
      <w:t>02</w:t>
    </w:r>
    <w:r>
      <w:rPr>
        <w:szCs w:val="18"/>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42510C" w14:textId="77777777" w:rsidR="00EA4410" w:rsidRDefault="00EA4410" w:rsidP="009F56BC">
      <w:r>
        <w:separator/>
      </w:r>
    </w:p>
  </w:footnote>
  <w:footnote w:type="continuationSeparator" w:id="0">
    <w:p w14:paraId="030EE708" w14:textId="77777777" w:rsidR="00EA4410" w:rsidRDefault="00EA4410" w:rsidP="009F56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65ABB" w14:textId="2CDA3C73" w:rsidR="00653F04" w:rsidRDefault="00653F04" w:rsidP="009F56BC">
    <w:pPr>
      <w:pStyle w:val="Header"/>
    </w:pPr>
    <w:r>
      <w:rPr>
        <w:noProof/>
      </w:rPr>
      <w:drawing>
        <wp:anchor distT="0" distB="0" distL="114300" distR="114300" simplePos="0" relativeHeight="251660288" behindDoc="0" locked="0" layoutInCell="1" allowOverlap="1" wp14:anchorId="4B4DCD76" wp14:editId="27DB3465">
          <wp:simplePos x="0" y="0"/>
          <wp:positionH relativeFrom="column">
            <wp:posOffset>5057775</wp:posOffset>
          </wp:positionH>
          <wp:positionV relativeFrom="paragraph">
            <wp:posOffset>-86360</wp:posOffset>
          </wp:positionV>
          <wp:extent cx="1123421" cy="1209675"/>
          <wp:effectExtent l="0" t="0" r="635" b="0"/>
          <wp:wrapNone/>
          <wp:docPr id="32" name="Picture 32"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123421" cy="120967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FF7CA" w14:textId="1F85A01A" w:rsidR="00B43205" w:rsidRDefault="00B43205" w:rsidP="009F56BC">
    <w:pPr>
      <w:pStyle w:val="Header"/>
    </w:pPr>
    <w:r>
      <w:rPr>
        <w:noProof/>
      </w:rPr>
      <w:drawing>
        <wp:anchor distT="0" distB="0" distL="114300" distR="114300" simplePos="0" relativeHeight="251658240" behindDoc="0" locked="0" layoutInCell="1" allowOverlap="1" wp14:anchorId="73A040FC" wp14:editId="54D1DEED">
          <wp:simplePos x="0" y="0"/>
          <wp:positionH relativeFrom="column">
            <wp:posOffset>4819650</wp:posOffset>
          </wp:positionH>
          <wp:positionV relativeFrom="paragraph">
            <wp:posOffset>169545</wp:posOffset>
          </wp:positionV>
          <wp:extent cx="1123421" cy="1209675"/>
          <wp:effectExtent l="0" t="0" r="635" b="0"/>
          <wp:wrapNone/>
          <wp:docPr id="34" name="Picture 34"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123421" cy="120967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5218AD"/>
    <w:multiLevelType w:val="hybridMultilevel"/>
    <w:tmpl w:val="CDB641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33B1B12"/>
    <w:multiLevelType w:val="hybridMultilevel"/>
    <w:tmpl w:val="961E8C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BCA"/>
    <w:rsid w:val="00033214"/>
    <w:rsid w:val="000344CA"/>
    <w:rsid w:val="00053390"/>
    <w:rsid w:val="000D6CA2"/>
    <w:rsid w:val="000F4A5C"/>
    <w:rsid w:val="00110FFA"/>
    <w:rsid w:val="00143282"/>
    <w:rsid w:val="00152864"/>
    <w:rsid w:val="00156AD8"/>
    <w:rsid w:val="0015BEF2"/>
    <w:rsid w:val="001C176F"/>
    <w:rsid w:val="001C1DCF"/>
    <w:rsid w:val="001C6BAE"/>
    <w:rsid w:val="001C7CDA"/>
    <w:rsid w:val="00203E10"/>
    <w:rsid w:val="0021466D"/>
    <w:rsid w:val="00215FE7"/>
    <w:rsid w:val="002209B6"/>
    <w:rsid w:val="0025581E"/>
    <w:rsid w:val="00257576"/>
    <w:rsid w:val="002A10A0"/>
    <w:rsid w:val="002D66E8"/>
    <w:rsid w:val="002E48A9"/>
    <w:rsid w:val="0031481F"/>
    <w:rsid w:val="00316015"/>
    <w:rsid w:val="0032121E"/>
    <w:rsid w:val="00351164"/>
    <w:rsid w:val="00356E91"/>
    <w:rsid w:val="003A1F11"/>
    <w:rsid w:val="003A400C"/>
    <w:rsid w:val="003A5A67"/>
    <w:rsid w:val="003A6FE8"/>
    <w:rsid w:val="003A7D40"/>
    <w:rsid w:val="003B4CA3"/>
    <w:rsid w:val="003C5600"/>
    <w:rsid w:val="003F17CA"/>
    <w:rsid w:val="00406245"/>
    <w:rsid w:val="0042550E"/>
    <w:rsid w:val="00432969"/>
    <w:rsid w:val="00467CA8"/>
    <w:rsid w:val="004833F9"/>
    <w:rsid w:val="0049608B"/>
    <w:rsid w:val="004A36D6"/>
    <w:rsid w:val="004C2CD3"/>
    <w:rsid w:val="004D44B1"/>
    <w:rsid w:val="004D6429"/>
    <w:rsid w:val="004E2FE9"/>
    <w:rsid w:val="004F547A"/>
    <w:rsid w:val="004F7482"/>
    <w:rsid w:val="00510995"/>
    <w:rsid w:val="005168D8"/>
    <w:rsid w:val="00516A0B"/>
    <w:rsid w:val="005401D0"/>
    <w:rsid w:val="00544E9B"/>
    <w:rsid w:val="005542BA"/>
    <w:rsid w:val="00557FD9"/>
    <w:rsid w:val="00565C69"/>
    <w:rsid w:val="00567552"/>
    <w:rsid w:val="005C211E"/>
    <w:rsid w:val="005C24D3"/>
    <w:rsid w:val="005D1655"/>
    <w:rsid w:val="005D407B"/>
    <w:rsid w:val="005D48A3"/>
    <w:rsid w:val="005D5FBD"/>
    <w:rsid w:val="006421A7"/>
    <w:rsid w:val="00653F04"/>
    <w:rsid w:val="006E27AC"/>
    <w:rsid w:val="006E6A29"/>
    <w:rsid w:val="006F2607"/>
    <w:rsid w:val="006F2705"/>
    <w:rsid w:val="00702CE9"/>
    <w:rsid w:val="0070436F"/>
    <w:rsid w:val="00761580"/>
    <w:rsid w:val="00785571"/>
    <w:rsid w:val="007A2380"/>
    <w:rsid w:val="007A27AB"/>
    <w:rsid w:val="007B19AE"/>
    <w:rsid w:val="007B1B4B"/>
    <w:rsid w:val="007B2AA6"/>
    <w:rsid w:val="007D2C1C"/>
    <w:rsid w:val="007E6CD6"/>
    <w:rsid w:val="007F18E2"/>
    <w:rsid w:val="00814E62"/>
    <w:rsid w:val="00823DCC"/>
    <w:rsid w:val="00824381"/>
    <w:rsid w:val="00837E06"/>
    <w:rsid w:val="00872CE6"/>
    <w:rsid w:val="008767E1"/>
    <w:rsid w:val="008832DC"/>
    <w:rsid w:val="008960F6"/>
    <w:rsid w:val="008A56C8"/>
    <w:rsid w:val="008E674A"/>
    <w:rsid w:val="00907878"/>
    <w:rsid w:val="009328D4"/>
    <w:rsid w:val="00952E25"/>
    <w:rsid w:val="009700B0"/>
    <w:rsid w:val="00971CCF"/>
    <w:rsid w:val="00976732"/>
    <w:rsid w:val="009A598B"/>
    <w:rsid w:val="009A659E"/>
    <w:rsid w:val="009B66F6"/>
    <w:rsid w:val="009C61CE"/>
    <w:rsid w:val="009D311F"/>
    <w:rsid w:val="009D5BE0"/>
    <w:rsid w:val="009E1AF7"/>
    <w:rsid w:val="009F56BC"/>
    <w:rsid w:val="009F67D1"/>
    <w:rsid w:val="00A10391"/>
    <w:rsid w:val="00A22C9B"/>
    <w:rsid w:val="00A32F3E"/>
    <w:rsid w:val="00A33EF3"/>
    <w:rsid w:val="00A43B9F"/>
    <w:rsid w:val="00A71E54"/>
    <w:rsid w:val="00A86D79"/>
    <w:rsid w:val="00AA7080"/>
    <w:rsid w:val="00AB4300"/>
    <w:rsid w:val="00B03CAB"/>
    <w:rsid w:val="00B123D7"/>
    <w:rsid w:val="00B16395"/>
    <w:rsid w:val="00B277B6"/>
    <w:rsid w:val="00B314C2"/>
    <w:rsid w:val="00B33A17"/>
    <w:rsid w:val="00B40D85"/>
    <w:rsid w:val="00B43205"/>
    <w:rsid w:val="00B7211B"/>
    <w:rsid w:val="00B744C3"/>
    <w:rsid w:val="00BA606C"/>
    <w:rsid w:val="00BA70D7"/>
    <w:rsid w:val="00BD0196"/>
    <w:rsid w:val="00BD05FA"/>
    <w:rsid w:val="00BE1873"/>
    <w:rsid w:val="00C13B9B"/>
    <w:rsid w:val="00C14711"/>
    <w:rsid w:val="00C15B03"/>
    <w:rsid w:val="00C17BF7"/>
    <w:rsid w:val="00C3271F"/>
    <w:rsid w:val="00C601E9"/>
    <w:rsid w:val="00C62499"/>
    <w:rsid w:val="00C74684"/>
    <w:rsid w:val="00C84C36"/>
    <w:rsid w:val="00C91449"/>
    <w:rsid w:val="00CB2902"/>
    <w:rsid w:val="00CB7741"/>
    <w:rsid w:val="00CD5961"/>
    <w:rsid w:val="00CE2BCA"/>
    <w:rsid w:val="00CF5C46"/>
    <w:rsid w:val="00D11A04"/>
    <w:rsid w:val="00D764D4"/>
    <w:rsid w:val="00D80DF6"/>
    <w:rsid w:val="00D867B9"/>
    <w:rsid w:val="00DD25F3"/>
    <w:rsid w:val="00E00598"/>
    <w:rsid w:val="00E00603"/>
    <w:rsid w:val="00E01B7D"/>
    <w:rsid w:val="00E1522C"/>
    <w:rsid w:val="00E4262C"/>
    <w:rsid w:val="00E74F84"/>
    <w:rsid w:val="00EA4410"/>
    <w:rsid w:val="00EB4EBC"/>
    <w:rsid w:val="00ED7455"/>
    <w:rsid w:val="00EE2763"/>
    <w:rsid w:val="00EE3B07"/>
    <w:rsid w:val="00EE6338"/>
    <w:rsid w:val="00EE694A"/>
    <w:rsid w:val="00EF2610"/>
    <w:rsid w:val="00F172AE"/>
    <w:rsid w:val="00F255AF"/>
    <w:rsid w:val="00F340C0"/>
    <w:rsid w:val="00F40DF0"/>
    <w:rsid w:val="00F5042C"/>
    <w:rsid w:val="00F82AD3"/>
    <w:rsid w:val="00FB1BD3"/>
    <w:rsid w:val="00FC6C51"/>
    <w:rsid w:val="00FD0D6D"/>
    <w:rsid w:val="00FD4F87"/>
    <w:rsid w:val="00FF2CDB"/>
    <w:rsid w:val="02B283B9"/>
    <w:rsid w:val="04388418"/>
    <w:rsid w:val="04DF301F"/>
    <w:rsid w:val="04F785E0"/>
    <w:rsid w:val="05EA247B"/>
    <w:rsid w:val="06D4347B"/>
    <w:rsid w:val="0797164D"/>
    <w:rsid w:val="08AEA139"/>
    <w:rsid w:val="0947F8C0"/>
    <w:rsid w:val="0ABB674F"/>
    <w:rsid w:val="0CCFA03A"/>
    <w:rsid w:val="10870A3B"/>
    <w:rsid w:val="11531709"/>
    <w:rsid w:val="12AD7193"/>
    <w:rsid w:val="12FE0FA2"/>
    <w:rsid w:val="131D90F3"/>
    <w:rsid w:val="155CF9FE"/>
    <w:rsid w:val="1627FA0A"/>
    <w:rsid w:val="1823821C"/>
    <w:rsid w:val="1D4A245F"/>
    <w:rsid w:val="1E87A38F"/>
    <w:rsid w:val="1F8F2686"/>
    <w:rsid w:val="210023E9"/>
    <w:rsid w:val="274F3B21"/>
    <w:rsid w:val="2AB5BC4D"/>
    <w:rsid w:val="2B053B36"/>
    <w:rsid w:val="2C859FEC"/>
    <w:rsid w:val="2CEDA2DA"/>
    <w:rsid w:val="2E45AB3C"/>
    <w:rsid w:val="2F0D2C23"/>
    <w:rsid w:val="33DCA137"/>
    <w:rsid w:val="35F1249F"/>
    <w:rsid w:val="36948520"/>
    <w:rsid w:val="38404568"/>
    <w:rsid w:val="39C62847"/>
    <w:rsid w:val="3AF16C43"/>
    <w:rsid w:val="3DCDE1DD"/>
    <w:rsid w:val="3DDC8DF5"/>
    <w:rsid w:val="3F281999"/>
    <w:rsid w:val="3FB8CF96"/>
    <w:rsid w:val="47E8A731"/>
    <w:rsid w:val="4830143E"/>
    <w:rsid w:val="49431422"/>
    <w:rsid w:val="4946897F"/>
    <w:rsid w:val="49847792"/>
    <w:rsid w:val="4CDBF9D3"/>
    <w:rsid w:val="4D52CA7F"/>
    <w:rsid w:val="4E2ABB08"/>
    <w:rsid w:val="501C09AB"/>
    <w:rsid w:val="51105C76"/>
    <w:rsid w:val="55B36B10"/>
    <w:rsid w:val="574CEEA4"/>
    <w:rsid w:val="58742E9B"/>
    <w:rsid w:val="5882BC16"/>
    <w:rsid w:val="597E8367"/>
    <w:rsid w:val="5C3430D9"/>
    <w:rsid w:val="5C34D287"/>
    <w:rsid w:val="5F8DEC5A"/>
    <w:rsid w:val="60D3D588"/>
    <w:rsid w:val="65825B81"/>
    <w:rsid w:val="66830ACC"/>
    <w:rsid w:val="66834C29"/>
    <w:rsid w:val="678B0B7F"/>
    <w:rsid w:val="688F30EA"/>
    <w:rsid w:val="6BA0D9AF"/>
    <w:rsid w:val="6BF288DD"/>
    <w:rsid w:val="6F511764"/>
    <w:rsid w:val="70A095A6"/>
    <w:rsid w:val="71987972"/>
    <w:rsid w:val="74F071DD"/>
    <w:rsid w:val="75386849"/>
    <w:rsid w:val="75DD349B"/>
    <w:rsid w:val="760B494B"/>
    <w:rsid w:val="76E8A06F"/>
    <w:rsid w:val="781BD7AA"/>
    <w:rsid w:val="7C3C7906"/>
    <w:rsid w:val="7DAB7EB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064C6F"/>
  <w15:chartTrackingRefBased/>
  <w15:docId w15:val="{CBD4C0CA-E3D5-465B-8B3C-486EB0EE1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56BC"/>
    <w:pPr>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7CDA"/>
    <w:pPr>
      <w:ind w:left="720"/>
      <w:contextualSpacing/>
    </w:pPr>
  </w:style>
  <w:style w:type="paragraph" w:styleId="Revision">
    <w:name w:val="Revision"/>
    <w:hidden/>
    <w:uiPriority w:val="99"/>
    <w:semiHidden/>
    <w:rsid w:val="004D44B1"/>
    <w:pPr>
      <w:spacing w:after="0" w:line="240" w:lineRule="auto"/>
    </w:pPr>
  </w:style>
  <w:style w:type="character" w:styleId="CommentReference">
    <w:name w:val="annotation reference"/>
    <w:basedOn w:val="DefaultParagraphFont"/>
    <w:uiPriority w:val="99"/>
    <w:semiHidden/>
    <w:unhideWhenUsed/>
    <w:rsid w:val="00FD0D6D"/>
    <w:rPr>
      <w:sz w:val="16"/>
      <w:szCs w:val="16"/>
    </w:rPr>
  </w:style>
  <w:style w:type="paragraph" w:styleId="CommentText">
    <w:name w:val="annotation text"/>
    <w:basedOn w:val="Normal"/>
    <w:link w:val="CommentTextChar"/>
    <w:uiPriority w:val="99"/>
    <w:semiHidden/>
    <w:unhideWhenUsed/>
    <w:rsid w:val="00FD0D6D"/>
    <w:pPr>
      <w:spacing w:line="240" w:lineRule="auto"/>
    </w:pPr>
    <w:rPr>
      <w:sz w:val="20"/>
      <w:szCs w:val="20"/>
    </w:rPr>
  </w:style>
  <w:style w:type="character" w:customStyle="1" w:styleId="CommentTextChar">
    <w:name w:val="Comment Text Char"/>
    <w:basedOn w:val="DefaultParagraphFont"/>
    <w:link w:val="CommentText"/>
    <w:uiPriority w:val="99"/>
    <w:semiHidden/>
    <w:rsid w:val="00FD0D6D"/>
    <w:rPr>
      <w:sz w:val="20"/>
      <w:szCs w:val="20"/>
    </w:rPr>
  </w:style>
  <w:style w:type="paragraph" w:styleId="CommentSubject">
    <w:name w:val="annotation subject"/>
    <w:basedOn w:val="CommentText"/>
    <w:next w:val="CommentText"/>
    <w:link w:val="CommentSubjectChar"/>
    <w:uiPriority w:val="99"/>
    <w:semiHidden/>
    <w:unhideWhenUsed/>
    <w:rsid w:val="00FD0D6D"/>
    <w:rPr>
      <w:b/>
      <w:bCs/>
    </w:rPr>
  </w:style>
  <w:style w:type="character" w:customStyle="1" w:styleId="CommentSubjectChar">
    <w:name w:val="Comment Subject Char"/>
    <w:basedOn w:val="CommentTextChar"/>
    <w:link w:val="CommentSubject"/>
    <w:uiPriority w:val="99"/>
    <w:semiHidden/>
    <w:rsid w:val="00FD0D6D"/>
    <w:rPr>
      <w:b/>
      <w:bCs/>
      <w:sz w:val="20"/>
      <w:szCs w:val="20"/>
    </w:rPr>
  </w:style>
  <w:style w:type="paragraph" w:styleId="Header">
    <w:name w:val="header"/>
    <w:basedOn w:val="Normal"/>
    <w:link w:val="HeaderChar"/>
    <w:uiPriority w:val="99"/>
    <w:unhideWhenUsed/>
    <w:rsid w:val="00B432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3205"/>
  </w:style>
  <w:style w:type="paragraph" w:styleId="Footer">
    <w:name w:val="footer"/>
    <w:basedOn w:val="Normal"/>
    <w:link w:val="FooterChar"/>
    <w:uiPriority w:val="99"/>
    <w:unhideWhenUsed/>
    <w:rsid w:val="00B432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32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Ignition brand colour palette">
      <a:dk1>
        <a:sysClr val="windowText" lastClr="000000"/>
      </a:dk1>
      <a:lt1>
        <a:sysClr val="window" lastClr="FFFFFF"/>
      </a:lt1>
      <a:dk2>
        <a:srgbClr val="44546A"/>
      </a:dk2>
      <a:lt2>
        <a:srgbClr val="E7E6E6"/>
      </a:lt2>
      <a:accent1>
        <a:srgbClr val="B39A80"/>
      </a:accent1>
      <a:accent2>
        <a:srgbClr val="3F3D3F"/>
      </a:accent2>
      <a:accent3>
        <a:srgbClr val="D9A58B"/>
      </a:accent3>
      <a:accent4>
        <a:srgbClr val="C7D3D5"/>
      </a:accent4>
      <a:accent5>
        <a:srgbClr val="69849B"/>
      </a:accent5>
      <a:accent6>
        <a:srgbClr val="000000"/>
      </a:accent6>
      <a:hlink>
        <a:srgbClr val="B39A80"/>
      </a:hlink>
      <a:folHlink>
        <a:srgbClr val="D9A58B"/>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30B48E71E34C246BE20AAF3C0D60461" ma:contentTypeVersion="13" ma:contentTypeDescription="Create a new document." ma:contentTypeScope="" ma:versionID="aee39eb7e68a86c35dbd6f1a6fab00ca">
  <xsd:schema xmlns:xsd="http://www.w3.org/2001/XMLSchema" xmlns:xs="http://www.w3.org/2001/XMLSchema" xmlns:p="http://schemas.microsoft.com/office/2006/metadata/properties" xmlns:ns2="4b85d055-cafb-4678-bd8c-48ef5523034e" xmlns:ns3="470a4e6f-4809-4a2c-9131-5e8d1b2d4c3d" targetNamespace="http://schemas.microsoft.com/office/2006/metadata/properties" ma:root="true" ma:fieldsID="69d389b07815288f7efc05839d65489c" ns2:_="" ns3:_="">
    <xsd:import namespace="4b85d055-cafb-4678-bd8c-48ef5523034e"/>
    <xsd:import namespace="470a4e6f-4809-4a2c-9131-5e8d1b2d4c3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85d055-cafb-4678-bd8c-48ef552303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70a4e6f-4809-4a2c-9131-5e8d1b2d4c3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A595093-F08E-4E24-AB4C-6957A2C12E8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B046CF7-4FBB-4FD3-9410-6AAF34EB49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85d055-cafb-4678-bd8c-48ef5523034e"/>
    <ds:schemaRef ds:uri="470a4e6f-4809-4a2c-9131-5e8d1b2d4c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FB7B45-D3A9-4CBF-B459-B9635D9F863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1025</Words>
  <Characters>5794</Characters>
  <Application>Microsoft Office Word</Application>
  <DocSecurity>0</DocSecurity>
  <Lines>199</Lines>
  <Paragraphs>42</Paragraphs>
  <ScaleCrop>false</ScaleCrop>
  <Company/>
  <LinksUpToDate>false</LinksUpToDate>
  <CharactersWithSpaces>6777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Baker</dc:creator>
  <cp:keywords/>
  <dc:description/>
  <cp:lastModifiedBy>Katie Wilson</cp:lastModifiedBy>
  <cp:revision>12</cp:revision>
  <dcterms:created xsi:type="dcterms:W3CDTF">2022-02-08T05:18:00Z</dcterms:created>
  <dcterms:modified xsi:type="dcterms:W3CDTF">2022-02-13T05:52:00Z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0x010100A30B48E71E34C246BE20AAF3C0D60461</vt:lpwstr>
  </property>
</Properties>
</file>